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Customización Accesoriales</w:t>
      </w:r>
    </w:p>
    <w:p w:rsidR="00000000" w:rsidDel="00000000" w:rsidP="00000000" w:rsidRDefault="00000000" w:rsidRPr="00000000" w14:paraId="00000002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bookmarkStart w:colFirst="0" w:colLast="0" w:name="_heading=h.joqm2ehu99n5" w:id="0"/>
      <w:bookmarkEnd w:id="0"/>
      <w:r w:rsidDel="00000000" w:rsidR="00000000" w:rsidRPr="00000000">
        <w:rPr>
          <w:rtl w:val="0"/>
        </w:rPr>
        <w:t xml:space="preserve">Introducción</w:t>
      </w:r>
    </w:p>
    <w:p w:rsidR="00000000" w:rsidDel="00000000" w:rsidP="00000000" w:rsidRDefault="00000000" w:rsidRPr="00000000" w14:paraId="00000004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r w:rsidDel="00000000" w:rsidR="00000000" w:rsidRPr="00000000">
        <w:rPr>
          <w:rtl w:val="0"/>
        </w:rPr>
        <w:t xml:space="preserve">El sistema TMS incluye una lista estándar de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 disponibles para su uso durante la gestión de cargas.</w:t>
      </w:r>
    </w:p>
    <w:p w:rsidR="00000000" w:rsidDel="00000000" w:rsidP="00000000" w:rsidRDefault="00000000" w:rsidRPr="00000000" w14:paraId="00000006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r w:rsidDel="00000000" w:rsidR="00000000" w:rsidRPr="00000000">
        <w:rPr>
          <w:rtl w:val="0"/>
        </w:rPr>
        <w:t xml:space="preserve">Los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 permiten añadir costes adicionales tanto para clientes (Shippers) como para transportistas (Carriers) dentro del detalle económico de la carga.</w:t>
      </w:r>
    </w:p>
    <w:p w:rsidR="00000000" w:rsidDel="00000000" w:rsidP="00000000" w:rsidRDefault="00000000" w:rsidRPr="00000000" w14:paraId="00000008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r w:rsidDel="00000000" w:rsidR="00000000" w:rsidRPr="00000000">
        <w:rPr>
          <w:rtl w:val="0"/>
        </w:rPr>
        <w:t xml:space="preserve">La plataforma está disponible en español e inglés. Por ello, cada accesorial puede visualizarse en ambos idiomas, aunque el uso del idioma inglés es opcional.</w:t>
      </w:r>
    </w:p>
    <w:p w:rsidR="00000000" w:rsidDel="00000000" w:rsidP="00000000" w:rsidRDefault="00000000" w:rsidRPr="00000000" w14:paraId="0000000A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r w:rsidDel="00000000" w:rsidR="00000000" w:rsidRPr="00000000">
        <w:rPr>
          <w:rtl w:val="0"/>
        </w:rPr>
        <w:t xml:space="preserve">Este documento permite definir:</w:t>
      </w:r>
    </w:p>
    <w:p w:rsidR="00000000" w:rsidDel="00000000" w:rsidP="00000000" w:rsidRDefault="00000000" w:rsidRPr="00000000" w14:paraId="0000000C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Qué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 estándar desea mantener o eliminar.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 desea renombrarlos.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 desea añadir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 personalizados.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Cómo desea gestionar la nomenclatura en inglés.</w:t>
      </w:r>
    </w:p>
    <w:p w:rsidR="00000000" w:rsidDel="00000000" w:rsidP="00000000" w:rsidRDefault="00000000" w:rsidRPr="00000000" w14:paraId="00000011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bookmarkStart w:colFirst="0" w:colLast="0" w:name="_heading=h.gfwysbi6444l" w:id="1"/>
      <w:bookmarkEnd w:id="1"/>
      <w:r w:rsidDel="00000000" w:rsidR="00000000" w:rsidRPr="00000000">
        <w:rPr>
          <w:rtl w:val="0"/>
        </w:rPr>
        <w:t xml:space="preserve">Requisitos previos</w:t>
      </w:r>
    </w:p>
    <w:p w:rsidR="00000000" w:rsidDel="00000000" w:rsidP="00000000" w:rsidRDefault="00000000" w:rsidRPr="00000000" w14:paraId="00000013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0" w:firstLine="0"/>
        <w:rPr/>
      </w:pPr>
      <w:r w:rsidDel="00000000" w:rsidR="00000000" w:rsidRPr="00000000">
        <w:rPr>
          <w:rtl w:val="0"/>
        </w:rPr>
        <w:tab/>
        <w:t xml:space="preserve">Antes de completar este documento, recomendamos: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1440" w:hanging="360"/>
        <w:rPr/>
      </w:pPr>
      <w:r w:rsidDel="00000000" w:rsidR="00000000" w:rsidRPr="00000000">
        <w:rPr>
          <w:rtl w:val="0"/>
        </w:rPr>
        <w:t xml:space="preserve">Revisar los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 utilizados actualmente por su compañía.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1440" w:hanging="360"/>
        <w:rPr/>
      </w:pPr>
      <w:r w:rsidDel="00000000" w:rsidR="00000000" w:rsidRPr="00000000">
        <w:rPr>
          <w:rtl w:val="0"/>
        </w:rPr>
        <w:t xml:space="preserve">Validar nomenclaturas con los equipos de Operaciones y Facturación.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1440" w:hanging="360"/>
        <w:rPr/>
      </w:pPr>
      <w:r w:rsidDel="00000000" w:rsidR="00000000" w:rsidRPr="00000000">
        <w:rPr>
          <w:rtl w:val="0"/>
        </w:rPr>
        <w:t xml:space="preserve">Confirmar si la operación utilizará la plataforma en inglés o únicamente en español.</w:t>
      </w:r>
    </w:p>
    <w:p w:rsidR="00000000" w:rsidDel="00000000" w:rsidP="00000000" w:rsidRDefault="00000000" w:rsidRPr="00000000" w14:paraId="00000018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bookmarkStart w:colFirst="0" w:colLast="0" w:name="_heading=h.w7yiu9yrsmeo" w:id="2"/>
      <w:bookmarkEnd w:id="2"/>
      <w:r w:rsidDel="00000000" w:rsidR="00000000" w:rsidRPr="00000000">
        <w:rPr>
          <w:rtl w:val="0"/>
        </w:rPr>
        <w:t xml:space="preserve">¿Qué debe hacer?</w:t>
      </w:r>
    </w:p>
    <w:p w:rsidR="00000000" w:rsidDel="00000000" w:rsidP="00000000" w:rsidRDefault="00000000" w:rsidRPr="00000000" w14:paraId="0000001A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r w:rsidDel="00000000" w:rsidR="00000000" w:rsidRPr="00000000">
        <w:rPr>
          <w:rtl w:val="0"/>
        </w:rPr>
        <w:t xml:space="preserve">Paso 1 — Definir tratamiento de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 estándar</w:t>
      </w:r>
    </w:p>
    <w:p w:rsidR="00000000" w:rsidDel="00000000" w:rsidP="00000000" w:rsidRDefault="00000000" w:rsidRPr="00000000" w14:paraId="0000001C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Indique qué desea hacer con los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 actualmente disponibles en la plataforma:</w:t>
      </w:r>
    </w:p>
    <w:p w:rsidR="00000000" w:rsidDel="00000000" w:rsidP="00000000" w:rsidRDefault="00000000" w:rsidRPr="00000000" w14:paraId="0000001E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☐ Mantener todos los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 estándar</w:t>
      </w:r>
    </w:p>
    <w:p w:rsidR="00000000" w:rsidDel="00000000" w:rsidP="00000000" w:rsidRDefault="00000000" w:rsidRPr="00000000" w14:paraId="00000020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☐ Mantener parcialmente los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 estándar</w:t>
      </w:r>
    </w:p>
    <w:p w:rsidR="00000000" w:rsidDel="00000000" w:rsidP="00000000" w:rsidRDefault="00000000" w:rsidRPr="00000000" w14:paraId="00000021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☐ Eliminar los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 estándar y utilizar únicamente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 personalizados</w:t>
      </w:r>
    </w:p>
    <w:p w:rsidR="00000000" w:rsidDel="00000000" w:rsidP="00000000" w:rsidRDefault="00000000" w:rsidRPr="00000000" w14:paraId="00000022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Accesoriales estándar disponibles</w:t>
      </w:r>
    </w:p>
    <w:p w:rsidR="00000000" w:rsidDel="00000000" w:rsidP="00000000" w:rsidRDefault="00000000" w:rsidRPr="00000000" w14:paraId="00000024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Si desea realizar alguna modificación sobre los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 estándar, se debe indicar en la siguiente tabla.</w:t>
      </w:r>
    </w:p>
    <w:p w:rsidR="00000000" w:rsidDel="00000000" w:rsidP="00000000" w:rsidRDefault="00000000" w:rsidRPr="00000000" w14:paraId="00000026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r w:rsidDel="00000000" w:rsidR="00000000" w:rsidRPr="00000000">
        <w:rPr>
          <w:rtl w:val="0"/>
        </w:rPr>
        <w:t xml:space="preserve">Si desea mantener el accesorial pero utilizar otra nomenclatura, puede indicarlo en las columnas correspondientes.</w:t>
      </w:r>
    </w:p>
    <w:p w:rsidR="00000000" w:rsidDel="00000000" w:rsidP="00000000" w:rsidRDefault="00000000" w:rsidRPr="00000000" w14:paraId="00000027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El sistema ya cuenta con una traducción estándar al inglés para los siguientes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8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Ind w:w="720.0" w:type="dxa"/>
        <w:tblBorders>
          <w:top w:color="434343" w:space="0" w:sz="4" w:val="single"/>
          <w:left w:color="434343" w:space="0" w:sz="4" w:val="single"/>
          <w:bottom w:color="434343" w:space="0" w:sz="4" w:val="single"/>
          <w:right w:color="434343" w:space="0" w:sz="4" w:val="single"/>
          <w:insideH w:color="434343" w:space="0" w:sz="4" w:val="single"/>
          <w:insideV w:color="434343" w:space="0" w:sz="4" w:val="single"/>
        </w:tblBorders>
        <w:tblLayout w:type="fixed"/>
        <w:tblLook w:val="0600"/>
      </w:tblPr>
      <w:tblGrid>
        <w:gridCol w:w="2535"/>
        <w:gridCol w:w="1785"/>
        <w:gridCol w:w="1230"/>
        <w:gridCol w:w="1095"/>
        <w:gridCol w:w="1530"/>
        <w:gridCol w:w="1575"/>
        <w:tblGridChange w:id="0">
          <w:tblGrid>
            <w:gridCol w:w="2535"/>
            <w:gridCol w:w="1785"/>
            <w:gridCol w:w="1230"/>
            <w:gridCol w:w="1095"/>
            <w:gridCol w:w="1530"/>
            <w:gridCol w:w="15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099b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850"/>
              </w:tabs>
              <w:ind w:left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Accesorial estándar (ES)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099b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850"/>
              </w:tabs>
              <w:ind w:left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Traducción estándar (EN)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099b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850"/>
              </w:tabs>
              <w:ind w:left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Mantener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099b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850"/>
              </w:tabs>
              <w:ind w:left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Eliminar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099b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850"/>
              </w:tabs>
              <w:ind w:left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Renombrar (ES)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099b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850"/>
              </w:tabs>
              <w:ind w:left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Renombrar (EN)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Otro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Other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Coordinación logistica de servicios de mensajería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Courier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Cargos por documentación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 Fee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Arrastre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Drayage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Paradas/Escalas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Layover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Cargos por retraso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Late Fee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Cargos locales, empaquetado (LCL)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Stuffing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Detención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Detention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Tarifa de equipo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Team Rate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Servicio de almacenamiento en bodega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Warehouse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Horas de trabajo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Work Hour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Costo por maniobra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Lumper Fee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Cargos locales, desempaquetado (LCL)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Unstuffing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Tarifa de almacenamiento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Storage Fee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Cargos por paradas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Stop Charges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Pesaje de contenedor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Weighing Fee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Cargos por demora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Demurrage Fee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Cargos por detención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Detention Fee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Flete en falso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False Freight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Gastos de envío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Parcel Charge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Tarifa del transportista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Carriers price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Cobertura de riesgos (tasa 0%)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Insurance (0%)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Cargos extras en origen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Origin Charges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Cargo por escala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Scaling Charge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Cargos por lonas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Tarping Charge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Cruce de puente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Bridge Crossing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Revalidación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Carrier Release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Cargo adicional por combustible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Fuel Surcharges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Cobertura de riesgos (tasa 16%)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Insurance (16%)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Devolución de material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Material Return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Transmisión AMS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AMS Transmission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Daños al contenedor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Container Damage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Servicios de comercio exterior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Customs Dispatch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Inspección en orige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Origin Inspection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Cargas rechazadas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Refused Shipments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Cancelación de cargos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Charge Cancellation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Honorarios de los agentes de aduanas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Customs Agents Fees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Cargos extras en destino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Destination Charges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Maniobras de contenedor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Handling (Port THC)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Materiales peligrosos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Hazardous Materials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Devolución vacía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Vacios Empty Return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Cancelación de reservación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Booking Cancellation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Servicios de consultoria y logistica (flete terrestre con IVA)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Inland Freight (iva)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Millas fuera de la ruta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Out Of Route Mileage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Seguro de alto valor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Overcharge Insurance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Cargos por reconsignación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Reconsignment Charge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Pedido de camión no utilizado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Truck Order Not Used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Contribuciones aduaneras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Customs Contributions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Tarifa adicional por carga pesada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Lumper Fee Extra Cost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Cargo por cruce de frontera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Border Crossing Charge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Asesoria en comercio exterior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Customs Classification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Servicios de consultoria y logistica (terrestre sin IVA)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Inland Freight (no iva)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Recolección o entrega en fin de semana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Weekend Pickup Delivery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Agencia de despacho de aduanas de EE. UU.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 Customs broker Agency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Pensión de descanso para camiones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Pension Truck Resting Area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Agencia de despacho aduanero de México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Mexican Customs broker Agency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Asistencia al operador por carga o descarga</w:t>
            </w:r>
          </w:p>
        </w:tc>
        <w:tc>
          <w:tcPr>
            <w:tcBorders>
              <w:top w:color="434343" w:space="0" w:sz="5" w:val="single"/>
              <w:left w:color="434343" w:space="0" w:sz="5" w:val="single"/>
              <w:bottom w:color="434343" w:space="0" w:sz="5" w:val="single"/>
              <w:right w:color="434343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0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Driver Assists Loading Unloading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tabs>
                <w:tab w:val="left" w:leader="none" w:pos="850"/>
              </w:tabs>
              <w:ind w:lef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</w:tabs>
        <w:spacing w:after="240" w:lineRule="auto"/>
        <w:ind w:lef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Paso 2 — Definir uso de idioma inglés</w:t>
      </w:r>
    </w:p>
    <w:p w:rsidR="00000000" w:rsidDel="00000000" w:rsidP="00000000" w:rsidRDefault="00000000" w:rsidRPr="00000000" w14:paraId="00000188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Indique cómo desea gestionar la versión en inglés de los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8A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☐ Utilizaremos la plataforma únicamente en español (no es necesaria traducción al inglés)</w:t>
      </w:r>
    </w:p>
    <w:p w:rsidR="00000000" w:rsidDel="00000000" w:rsidP="00000000" w:rsidRDefault="00000000" w:rsidRPr="00000000" w14:paraId="0000018C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☐ Utilizaremos la traducción estándar proporcionada por el sistema</w:t>
      </w:r>
    </w:p>
    <w:p w:rsidR="00000000" w:rsidDel="00000000" w:rsidP="00000000" w:rsidRDefault="00000000" w:rsidRPr="00000000" w14:paraId="0000018D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☐ Proporcionaremos nuestra propia nomenclatura en inglés</w:t>
      </w:r>
    </w:p>
    <w:p w:rsidR="00000000" w:rsidDel="00000000" w:rsidP="00000000" w:rsidRDefault="00000000" w:rsidRPr="00000000" w14:paraId="0000018E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Paso 3 — Añadir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 personalizados (Opcional)</w:t>
      </w:r>
    </w:p>
    <w:p w:rsidR="00000000" w:rsidDel="00000000" w:rsidP="00000000" w:rsidRDefault="00000000" w:rsidRPr="00000000" w14:paraId="00000190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Si desea añadir accesoriales adicionales, </w:t>
      </w:r>
      <w:r w:rsidDel="00000000" w:rsidR="00000000" w:rsidRPr="00000000">
        <w:rPr>
          <w:rtl w:val="0"/>
        </w:rPr>
        <w:t xml:space="preserve">complételos</w:t>
      </w:r>
      <w:r w:rsidDel="00000000" w:rsidR="00000000" w:rsidRPr="00000000">
        <w:rPr>
          <w:rtl w:val="0"/>
        </w:rPr>
        <w:t xml:space="preserve"> en la siguiente tabla.</w:t>
      </w:r>
    </w:p>
    <w:p w:rsidR="00000000" w:rsidDel="00000000" w:rsidP="00000000" w:rsidRDefault="00000000" w:rsidRPr="00000000" w14:paraId="00000192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Indicaciones:</w:t>
      </w:r>
    </w:p>
    <w:p w:rsidR="00000000" w:rsidDel="00000000" w:rsidP="00000000" w:rsidRDefault="00000000" w:rsidRPr="00000000" w14:paraId="00000194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Añada una fila por cada accesorial.</w:t>
      </w:r>
    </w:p>
    <w:p w:rsidR="00000000" w:rsidDel="00000000" w:rsidP="00000000" w:rsidRDefault="00000000" w:rsidRPr="00000000" w14:paraId="00000196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Si seleccionó “Utilizaremos la plataforma únicamente en español”, puede dejar la columna en inglés vacía.</w:t>
      </w:r>
    </w:p>
    <w:p w:rsidR="00000000" w:rsidDel="00000000" w:rsidP="00000000" w:rsidRDefault="00000000" w:rsidRPr="00000000" w14:paraId="00000198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Si utiliza inglés y no proporciona traducción, aplicaremos una traducción estándar.</w:t>
      </w:r>
    </w:p>
    <w:p w:rsidR="00000000" w:rsidDel="00000000" w:rsidP="00000000" w:rsidRDefault="00000000" w:rsidRPr="00000000" w14:paraId="0000019A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254388355"/>
        <w:tag w:val="goog_rdk_0"/>
      </w:sdtPr>
      <w:sdtContent>
        <w:tbl>
          <w:tblPr>
            <w:tblStyle w:val="Table2"/>
            <w:tblW w:w="9150.0" w:type="dxa"/>
            <w:jc w:val="left"/>
            <w:tblInd w:w="720.0" w:type="dxa"/>
            <w:tbl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  <w:insideH w:color="434343" w:space="0" w:sz="4" w:val="single"/>
              <w:insideV w:color="434343" w:space="0" w:sz="4" w:val="single"/>
            </w:tblBorders>
            <w:tblLayout w:type="fixed"/>
            <w:tblLook w:val="0600"/>
          </w:tblPr>
          <w:tblGrid>
            <w:gridCol w:w="2535"/>
            <w:gridCol w:w="2460"/>
            <w:gridCol w:w="1455"/>
            <w:gridCol w:w="2700"/>
            <w:tblGridChange w:id="0">
              <w:tblGrid>
                <w:gridCol w:w="2535"/>
                <w:gridCol w:w="2460"/>
                <w:gridCol w:w="1455"/>
                <w:gridCol w:w="2700"/>
              </w:tblGrid>
            </w:tblGridChange>
          </w:tblGrid>
          <w:tr>
            <w:trPr>
              <w:cantSplit w:val="0"/>
              <w:trHeight w:val="333.79999999999995" w:hRule="atLeast"/>
              <w:tblHeader w:val="0"/>
            </w:trPr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shd w:fill="099be5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C">
                <w:pPr>
                  <w:widowControl w:val="0"/>
                  <w:tabs>
                    <w:tab w:val="left" w:leader="none" w:pos="850"/>
                  </w:tabs>
                  <w:ind w:left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Accesorial (ES)</w:t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shd w:fill="099be5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D">
                <w:pPr>
                  <w:widowControl w:val="0"/>
                  <w:tabs>
                    <w:tab w:val="left" w:leader="none" w:pos="850"/>
                  </w:tabs>
                  <w:ind w:left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Accesorial (EN)</w:t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shd w:fill="099be5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E">
                <w:pPr>
                  <w:widowControl w:val="0"/>
                  <w:tabs>
                    <w:tab w:val="left" w:leader="none" w:pos="850"/>
                  </w:tabs>
                  <w:ind w:left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Aplicable a Cliente</w:t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shd w:fill="099be5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F">
                <w:pPr>
                  <w:widowControl w:val="0"/>
                  <w:tabs>
                    <w:tab w:val="left" w:leader="none" w:pos="850"/>
                  </w:tabs>
                  <w:ind w:left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Aplicable a Transportista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0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Ejemplo: Entrega Urgente</w:t>
                </w:r>
              </w:p>
            </w:tc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1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Urgent Delivery</w:t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2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Sí</w:t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3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No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4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Ejemplo: Maniobra Especial</w:t>
                </w:r>
              </w:p>
            </w:tc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5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Special Handling</w:t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6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Sí</w:t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7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Sí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8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9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A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B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C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D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E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F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0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1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B2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B3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4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5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B6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B7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8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9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BA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BB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C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D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BE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BF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0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5" w:val="single"/>
                  <w:left w:color="434343" w:space="0" w:sz="5" w:val="single"/>
                  <w:bottom w:color="434343" w:space="0" w:sz="5" w:val="single"/>
                  <w:right w:color="434343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1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C2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C3">
                <w:pPr>
                  <w:widowControl w:val="0"/>
                  <w:tabs>
                    <w:tab w:val="left" w:leader="none" w:pos="850"/>
                  </w:tabs>
                  <w:ind w:left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C4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</w:tabs>
        <w:spacing w:after="240" w:lineRule="auto"/>
        <w:ind w:lef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4. Resultado esperado</w:t>
      </w:r>
    </w:p>
    <w:p w:rsidR="00000000" w:rsidDel="00000000" w:rsidP="00000000" w:rsidRDefault="00000000" w:rsidRPr="00000000" w14:paraId="000001C7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Una vez configurado:</w:t>
      </w:r>
    </w:p>
    <w:p w:rsidR="00000000" w:rsidDel="00000000" w:rsidP="00000000" w:rsidRDefault="00000000" w:rsidRPr="00000000" w14:paraId="000001C9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El sistema </w:t>
      </w:r>
      <w:r w:rsidDel="00000000" w:rsidR="00000000" w:rsidRPr="00000000">
        <w:rPr>
          <w:rtl w:val="0"/>
        </w:rPr>
        <w:t xml:space="preserve">reflejará</w:t>
      </w:r>
      <w:r w:rsidDel="00000000" w:rsidR="00000000" w:rsidRPr="00000000">
        <w:rPr>
          <w:rtl w:val="0"/>
        </w:rPr>
        <w:t xml:space="preserve"> la lista final de accesoriales definida por su compañía.</w:t>
      </w:r>
    </w:p>
    <w:p w:rsidR="00000000" w:rsidDel="00000000" w:rsidP="00000000" w:rsidRDefault="00000000" w:rsidRPr="00000000" w14:paraId="000001CB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La nomenclatura será coherente con su operativa.</w:t>
      </w:r>
    </w:p>
    <w:p w:rsidR="00000000" w:rsidDel="00000000" w:rsidP="00000000" w:rsidRDefault="00000000" w:rsidRPr="00000000" w14:paraId="000001CD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r w:rsidDel="00000000" w:rsidR="00000000" w:rsidRPr="00000000">
        <w:rPr>
          <w:rtl w:val="0"/>
        </w:rPr>
        <w:t xml:space="preserve">En caso de uso bilingüe, los </w:t>
      </w:r>
      <w:r w:rsidDel="00000000" w:rsidR="00000000" w:rsidRPr="00000000">
        <w:rPr>
          <w:rtl w:val="0"/>
        </w:rPr>
        <w:t xml:space="preserve">accesoriales</w:t>
      </w:r>
      <w:r w:rsidDel="00000000" w:rsidR="00000000" w:rsidRPr="00000000">
        <w:rPr>
          <w:rtl w:val="0"/>
        </w:rPr>
        <w:t xml:space="preserve"> se visualizarán correctamente según el idioma seleccionado por el usuario.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spacing w:after="24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Style w:val="Heading2"/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720" w:firstLine="0"/>
        <w:rPr/>
      </w:pPr>
      <w:bookmarkStart w:colFirst="0" w:colLast="0" w:name="_heading=h.c5nyjjqobpl3" w:id="3"/>
      <w:bookmarkEnd w:id="3"/>
      <w:r w:rsidDel="00000000" w:rsidR="00000000" w:rsidRPr="00000000">
        <w:rPr>
          <w:rtl w:val="0"/>
        </w:rPr>
        <w:t xml:space="preserve">Notas y recomendaciones adicionales</w:t>
      </w:r>
    </w:p>
    <w:p w:rsidR="00000000" w:rsidDel="00000000" w:rsidP="00000000" w:rsidRDefault="00000000" w:rsidRPr="00000000" w14:paraId="000001D1">
      <w:p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numPr>
          <w:ilvl w:val="0"/>
          <w:numId w:val="1"/>
        </w:num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1440" w:hanging="360"/>
        <w:rPr/>
      </w:pPr>
      <w:r w:rsidDel="00000000" w:rsidR="00000000" w:rsidRPr="00000000">
        <w:rPr>
          <w:rtl w:val="0"/>
        </w:rPr>
        <w:t xml:space="preserve">Recomendamos evitar duplicidades o nomenclaturas similares que puedan generar confusión.</w:t>
      </w:r>
    </w:p>
    <w:p w:rsidR="00000000" w:rsidDel="00000000" w:rsidP="00000000" w:rsidRDefault="00000000" w:rsidRPr="00000000" w14:paraId="000001D3">
      <w:pPr>
        <w:numPr>
          <w:ilvl w:val="0"/>
          <w:numId w:val="1"/>
        </w:num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1440" w:hanging="360"/>
        <w:rPr/>
      </w:pPr>
      <w:r w:rsidDel="00000000" w:rsidR="00000000" w:rsidRPr="00000000">
        <w:rPr>
          <w:rtl w:val="0"/>
        </w:rPr>
        <w:t xml:space="preserve">Si su operación es exclusivamente nacional, puede optar por no utilizar la versión en inglés.</w:t>
      </w:r>
    </w:p>
    <w:p w:rsidR="00000000" w:rsidDel="00000000" w:rsidP="00000000" w:rsidRDefault="00000000" w:rsidRPr="00000000" w14:paraId="000001D4">
      <w:pPr>
        <w:numPr>
          <w:ilvl w:val="0"/>
          <w:numId w:val="1"/>
        </w:num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1440" w:hanging="360"/>
        <w:rPr/>
      </w:pPr>
      <w:r w:rsidDel="00000000" w:rsidR="00000000" w:rsidRPr="00000000">
        <w:rPr>
          <w:rtl w:val="0"/>
        </w:rPr>
        <w:t xml:space="preserve">Si su operación incluye clientes internacionales, recomendamos validar internamente la nomenclatura en ambos idiomas.</w:t>
      </w:r>
    </w:p>
    <w:p w:rsidR="00000000" w:rsidDel="00000000" w:rsidP="00000000" w:rsidRDefault="00000000" w:rsidRPr="00000000" w14:paraId="000001D5">
      <w:pPr>
        <w:numPr>
          <w:ilvl w:val="0"/>
          <w:numId w:val="1"/>
        </w:num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1440" w:hanging="360"/>
        <w:rPr/>
      </w:pPr>
      <w:r w:rsidDel="00000000" w:rsidR="00000000" w:rsidRPr="00000000">
        <w:rPr>
          <w:rtl w:val="0"/>
        </w:rPr>
        <w:t xml:space="preserve">Una definición clara desde el inicio facilita la consistencia en reportes y conciliaciones.</w:t>
      </w:r>
    </w:p>
    <w:p w:rsidR="00000000" w:rsidDel="00000000" w:rsidP="00000000" w:rsidRDefault="00000000" w:rsidRPr="00000000" w14:paraId="000001D6">
      <w:pPr>
        <w:numPr>
          <w:ilvl w:val="0"/>
          <w:numId w:val="1"/>
        </w:numPr>
        <w:tabs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  <w:tab w:val="left" w:leader="none" w:pos="850"/>
        </w:tabs>
        <w:ind w:left="1440" w:hanging="360"/>
        <w:rPr/>
      </w:pPr>
      <w:r w:rsidDel="00000000" w:rsidR="00000000" w:rsidRPr="00000000">
        <w:rPr>
          <w:rtl w:val="0"/>
        </w:rPr>
        <w:t xml:space="preserve">Nuevos accesoriales podrán solicitarse posteriormente mediante soporte.</w:t>
      </w:r>
    </w:p>
    <w:sectPr>
      <w:headerReference r:id="rId7" w:type="default"/>
      <w:footerReference r:id="rId8" w:type="default"/>
      <w:pgSz w:h="15840" w:w="12240" w:orient="portrait"/>
      <w:pgMar w:bottom="1440" w:top="1440" w:left="851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8">
    <w:pPr>
      <w:tabs>
        <w:tab w:val="left" w:leader="none" w:pos="850"/>
        <w:tab w:val="left" w:leader="none" w:pos="850"/>
        <w:tab w:val="left" w:leader="none" w:pos="850"/>
        <w:tab w:val="left" w:leader="none" w:pos="850"/>
        <w:tab w:val="left" w:leader="none" w:pos="850"/>
        <w:tab w:val="left" w:leader="none" w:pos="850"/>
        <w:tab w:val="left" w:leader="none" w:pos="850"/>
      </w:tabs>
      <w:ind w:left="0" w:firstLine="0"/>
      <w:rPr/>
    </w:pP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6124575</wp:posOffset>
          </wp:positionH>
          <wp:positionV relativeFrom="paragraph">
            <wp:posOffset>-9512</wp:posOffset>
          </wp:positionV>
          <wp:extent cx="956087" cy="448945"/>
          <wp:effectExtent b="0" l="0" r="0" t="0"/>
          <wp:wrapNone/>
          <wp:docPr id="9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6087" cy="44894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0"/>
        <w:tab w:val="left" w:leader="none" w:pos="850"/>
        <w:tab w:val="left" w:leader="none" w:pos="850"/>
        <w:tab w:val="left" w:leader="none" w:pos="850"/>
        <w:tab w:val="left" w:leader="none" w:pos="850"/>
        <w:tab w:val="left" w:leader="none" w:pos="850"/>
        <w:tab w:val="left" w:leader="none" w:pos="850"/>
        <w:tab w:val="center" w:leader="none" w:pos="4153"/>
        <w:tab w:val="right" w:leader="none" w:pos="8306"/>
        <w:tab w:val="right" w:leader="none" w:pos="10490"/>
      </w:tabs>
      <w:ind w:left="-851" w:right="42" w:firstLine="0"/>
      <w:jc w:val="right"/>
      <w:rPr>
        <w:rFonts w:ascii="Cambria" w:cs="Cambria" w:eastAsia="Cambria" w:hAnsi="Cambria"/>
        <w:color w:val="000000"/>
      </w:rPr>
    </w:pPr>
    <w:r w:rsidDel="00000000" w:rsidR="00000000" w:rsidRPr="00000000">
      <w:rPr>
        <w:rFonts w:ascii="Cambria" w:cs="Cambria" w:eastAsia="Cambria" w:hAnsi="Cambria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374396</wp:posOffset>
          </wp:positionH>
          <wp:positionV relativeFrom="page">
            <wp:posOffset>16256</wp:posOffset>
          </wp:positionV>
          <wp:extent cx="4867529" cy="1414571"/>
          <wp:effectExtent b="0" l="0" r="0" t="0"/>
          <wp:wrapTopAndBottom distB="0" distT="0"/>
          <wp:docPr id="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67529" cy="141457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color w:val="000000"/>
        <w:rtl w:val="0"/>
      </w:rPr>
      <w:tab/>
      <w:t xml:space="preserve">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6172200</wp:posOffset>
          </wp:positionH>
          <wp:positionV relativeFrom="paragraph">
            <wp:posOffset>457200</wp:posOffset>
          </wp:positionV>
          <wp:extent cx="956087" cy="448945"/>
          <wp:effectExtent b="0" l="0" r="0" t="0"/>
          <wp:wrapNone/>
          <wp:docPr id="9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6087" cy="4489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4"/>
        <w:szCs w:val="24"/>
        <w:lang w:val="es-ES_tradnl"/>
      </w:rPr>
    </w:rPrDefault>
    <w:pPrDefault>
      <w:pPr>
        <w:tabs>
          <w:tab w:val="left" w:leader="none" w:pos="850"/>
        </w:tabs>
        <w:ind w:left="7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913B9"/>
    <w:pPr>
      <w:tabs>
        <w:tab w:val="center" w:pos="4153"/>
        <w:tab w:val="right" w:pos="8306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0913B9"/>
  </w:style>
  <w:style w:type="paragraph" w:styleId="Piedepgina">
    <w:name w:val="footer"/>
    <w:basedOn w:val="Normal"/>
    <w:link w:val="PiedepginaCar"/>
    <w:uiPriority w:val="99"/>
    <w:unhideWhenUsed w:val="1"/>
    <w:rsid w:val="000913B9"/>
    <w:pPr>
      <w:tabs>
        <w:tab w:val="center" w:pos="4153"/>
        <w:tab w:val="right" w:pos="8306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3B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913B9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913B9"/>
    <w:rPr>
      <w:rFonts w:ascii="Lucida Grande" w:cs="Lucida Grande" w:hAnsi="Lucida Grande"/>
      <w:sz w:val="18"/>
      <w:szCs w:val="18"/>
    </w:rPr>
  </w:style>
  <w:style w:type="table" w:styleId="a" w:customStyle="1">
    <w:basedOn w:val="Tablanormal"/>
    <w:tblPr>
      <w:tblStyleRowBandSize w:val="1"/>
      <w:tblStyleColBandSize w:val="1"/>
    </w:tblPr>
  </w:style>
  <w:style w:type="table" w:styleId="a0" w:customStyle="1">
    <w:basedOn w:val="Tablanormal"/>
    <w:tblPr>
      <w:tblStyleRowBandSize w:val="1"/>
      <w:tblStyleColBandSize w:val="1"/>
    </w:tblPr>
  </w:style>
  <w:style w:type="table" w:styleId="a1" w:customStyle="1">
    <w:basedOn w:val="Tablanormal"/>
    <w:tblPr>
      <w:tblStyleRowBandSize w:val="1"/>
      <w:tblStyleColBandSize w:val="1"/>
    </w:tblPr>
  </w:style>
  <w:style w:type="table" w:styleId="a2" w:customStyle="1">
    <w:basedOn w:val="Tablanormal"/>
    <w:tblPr>
      <w:tblStyleRowBandSize w:val="1"/>
      <w:tblStyleColBandSize w:val="1"/>
    </w:tblPr>
  </w:style>
  <w:style w:type="table" w:styleId="a3" w:customStyle="1">
    <w:basedOn w:val="Tablanormal"/>
    <w:tblPr>
      <w:tblStyleRowBandSize w:val="1"/>
      <w:tblStyleColBandSize w:val="1"/>
    </w:tblPr>
  </w:style>
  <w:style w:type="table" w:styleId="a4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Zlm9/SxHnu0kCg+RLB5IC3shiw==">CgMxLjAaHwoBMBIaChgICVIUChJ0YWJsZS5iM3RoNG95aG1sdDkyDmguam9xbTJlaHU5OW41Mg5oLmdmd3lzYmk2NDQ0bDIOaC53N3lpdTl5cnNtZW8yDmguYzVueWpqcW9icGwzOAByITE0ZmdHMFdhY3g5Y2FYSHoyM096YWhpZ05VOXh5QlE4eg==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2020-10-06T15:54:00Z</dcterms:created>
  <dc:creator>Andrea</dc:creator>
</cp:coreProperties>
</file>